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408" w:rsidRPr="00EF0408" w:rsidRDefault="00EF0408" w:rsidP="00EF0408">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EF0408">
        <w:rPr>
          <w:rFonts w:ascii="Arial" w:eastAsia="Times New Roman" w:hAnsi="Arial" w:cs="Arial"/>
          <w:color w:val="000000"/>
          <w:kern w:val="36"/>
          <w:sz w:val="33"/>
          <w:szCs w:val="33"/>
          <w:lang w:eastAsia="ru-RU"/>
        </w:rPr>
        <w:t>Лекция 11 Принятие управленческих решений в условиях неопределенности</w:t>
      </w:r>
    </w:p>
    <w:p w:rsidR="00EF0408" w:rsidRPr="00EF0408" w:rsidRDefault="00EF0408" w:rsidP="00EF0408">
      <w:pPr>
        <w:spacing w:before="100" w:beforeAutospacing="1" w:after="100" w:afterAutospacing="1" w:line="240" w:lineRule="auto"/>
        <w:jc w:val="center"/>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План лекции</w:t>
      </w:r>
    </w:p>
    <w:p w:rsidR="00EF0408" w:rsidRPr="00EF0408" w:rsidRDefault="00EF0408" w:rsidP="00EF0408">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Источники и виды неопределенности</w:t>
      </w:r>
    </w:p>
    <w:p w:rsidR="00EF0408" w:rsidRPr="00EF0408" w:rsidRDefault="00EF0408" w:rsidP="00EF0408">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Методы и технологии принятия решений в условиях «природной» неопределенности</w:t>
      </w:r>
    </w:p>
    <w:p w:rsidR="00EF0408" w:rsidRPr="00EF0408" w:rsidRDefault="00EF0408" w:rsidP="00EF0408">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xml:space="preserve">Критерии </w:t>
      </w:r>
      <w:proofErr w:type="spellStart"/>
      <w:r w:rsidRPr="00EF0408">
        <w:rPr>
          <w:rFonts w:ascii="Arial" w:eastAsia="Times New Roman" w:hAnsi="Arial" w:cs="Arial"/>
          <w:color w:val="000000"/>
          <w:sz w:val="24"/>
          <w:szCs w:val="24"/>
          <w:lang w:eastAsia="ru-RU"/>
        </w:rPr>
        <w:t>Вальда</w:t>
      </w:r>
      <w:proofErr w:type="spellEnd"/>
      <w:r w:rsidRPr="00EF0408">
        <w:rPr>
          <w:rFonts w:ascii="Arial" w:eastAsia="Times New Roman" w:hAnsi="Arial" w:cs="Arial"/>
          <w:color w:val="000000"/>
          <w:sz w:val="24"/>
          <w:szCs w:val="24"/>
          <w:lang w:eastAsia="ru-RU"/>
        </w:rPr>
        <w:t xml:space="preserve">, </w:t>
      </w:r>
      <w:proofErr w:type="spellStart"/>
      <w:r w:rsidRPr="00EF0408">
        <w:rPr>
          <w:rFonts w:ascii="Arial" w:eastAsia="Times New Roman" w:hAnsi="Arial" w:cs="Arial"/>
          <w:color w:val="000000"/>
          <w:sz w:val="24"/>
          <w:szCs w:val="24"/>
          <w:lang w:eastAsia="ru-RU"/>
        </w:rPr>
        <w:t>Сэвиджа</w:t>
      </w:r>
      <w:proofErr w:type="spellEnd"/>
      <w:r w:rsidRPr="00EF0408">
        <w:rPr>
          <w:rFonts w:ascii="Arial" w:eastAsia="Times New Roman" w:hAnsi="Arial" w:cs="Arial"/>
          <w:color w:val="000000"/>
          <w:sz w:val="24"/>
          <w:szCs w:val="24"/>
          <w:lang w:eastAsia="ru-RU"/>
        </w:rPr>
        <w:t>, Лапласа, Гурвица</w:t>
      </w:r>
    </w:p>
    <w:p w:rsidR="00EF0408" w:rsidRPr="00EF0408" w:rsidRDefault="00EF0408" w:rsidP="00EF0408">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Метод теории игр в принятии решений в условиях неопределенности</w:t>
      </w:r>
    </w:p>
    <w:p w:rsidR="00EF0408" w:rsidRPr="00EF0408" w:rsidRDefault="00EF0408" w:rsidP="00EF0408">
      <w:pPr>
        <w:spacing w:after="0" w:line="240" w:lineRule="auto"/>
        <w:jc w:val="center"/>
        <w:outlineLvl w:val="1"/>
        <w:rPr>
          <w:rFonts w:ascii="Arial" w:eastAsia="Times New Roman" w:hAnsi="Arial" w:cs="Arial"/>
          <w:color w:val="000000"/>
          <w:sz w:val="30"/>
          <w:szCs w:val="30"/>
          <w:lang w:eastAsia="ru-RU"/>
        </w:rPr>
      </w:pPr>
      <w:r w:rsidRPr="00EF0408">
        <w:rPr>
          <w:rFonts w:ascii="Arial" w:eastAsia="Times New Roman" w:hAnsi="Arial" w:cs="Arial"/>
          <w:color w:val="000000"/>
          <w:sz w:val="30"/>
          <w:szCs w:val="30"/>
          <w:lang w:eastAsia="ru-RU"/>
        </w:rPr>
        <w:t>1. Источники и виды неопределенности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Решение принимается в условиях неопределенности, когда невозможно оценить вероятность потенциальных результатов. Это должно иметь место, когда требующие учета факторы настолько новы и сложны, что насчет них невозможно получить достаточно информации. В итоге вероятность определенного последствия невозможно предсказать с достаточной степенью достоверности. Неопределенность характерна для некоторых решений, которые приходится принимать в быстро меняющихся обстоятельствах. Наивысшим потенциалом неопределенности обладает социокультурная, политическая и наукоемкая среда.</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Сталкиваясь с неопределенностью, руководитель может использовать две основные возможности. Во-первых, попытаться получить дополнительную информацию и еще раз проанализировать проблему. Вторая возможность – действовать в точном соответствии с прошлым опытом, суждениями или интуицией и сделать предположение о вероятности событий. Это необходимо, когда не хватает времени на сбор дополнительной информации или затраты на нее чересчур высоки. Временные и информационные ограничения имеют важнейшее значение при принятии управленческих решений в условиях неопределенности. Выделяют два класса источников информационной неопределенности: ее избыток и дефицит. Дефицит информации может порождаться ее недостоверностью, противоречивостью, искажением, невозможностью четкой интерпретации.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Внешняя среда — главный источник неопределенности функционирования предприятия в условиях рынка. Неопределенность есть черта организационного поведения, с которой организации должны жить. В случае деловой фирмы имеет место неопределенность по отношению к рынку, поставкам, действиям акционеров, поведению конкурентов, мероприятиям правительственных агентств.</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Считается, что частичное (либо полное) отсутствие или избыток информации в задачах принятия решений могут порождать следующие типы неопределенности: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неопределенность состояний внешней среды;</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неопределенность целей;</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неопределенность действий.</w:t>
      </w:r>
    </w:p>
    <w:p w:rsidR="00EF0408" w:rsidRPr="00EF0408" w:rsidRDefault="00EF0408" w:rsidP="00EF0408">
      <w:pPr>
        <w:spacing w:after="0" w:line="240" w:lineRule="auto"/>
        <w:jc w:val="center"/>
        <w:outlineLvl w:val="1"/>
        <w:rPr>
          <w:rFonts w:ascii="Arial" w:eastAsia="Times New Roman" w:hAnsi="Arial" w:cs="Arial"/>
          <w:color w:val="000000"/>
          <w:sz w:val="30"/>
          <w:szCs w:val="30"/>
          <w:lang w:eastAsia="ru-RU"/>
        </w:rPr>
      </w:pPr>
      <w:r w:rsidRPr="00EF0408">
        <w:rPr>
          <w:rFonts w:ascii="Arial" w:eastAsia="Times New Roman" w:hAnsi="Arial" w:cs="Arial"/>
          <w:color w:val="000000"/>
          <w:sz w:val="30"/>
          <w:szCs w:val="30"/>
          <w:lang w:eastAsia="ru-RU"/>
        </w:rPr>
        <w:lastRenderedPageBreak/>
        <w:t>2. Методы и технологии принятия решений в условиях «природной» неопределенности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Принимая решение в условиях неопределенности, следует руководствоваться правилом, которое гласит, что любое решение, разрабатываемое на основе даже поверхностного анализа или прогноза лучше решения, принимаемого спонтанно, наугад. В целях реализации данного правила, менеджеры очень часто прибегают к помощи различных вариантов метода экспертного анализа и прогнозирования. В экспертную группу следует приглашать специалистов соответствующего профиля, обладающих необходимыми знаниями и опытом в сфере принимаемого решения. В качестве таких экспертов могут приглашаться не только специалисты со стороны, извне организации, но и сотрудники самой организации.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xml:space="preserve">Проблема принятия решений в условиях неопределенности слабо разработана в теории, однако </w:t>
      </w:r>
      <w:proofErr w:type="spellStart"/>
      <w:r w:rsidRPr="00EF0408">
        <w:rPr>
          <w:rFonts w:ascii="Arial" w:eastAsia="Times New Roman" w:hAnsi="Arial" w:cs="Arial"/>
          <w:color w:val="000000"/>
          <w:sz w:val="24"/>
          <w:szCs w:val="24"/>
          <w:lang w:eastAsia="ru-RU"/>
        </w:rPr>
        <w:t>напрактике</w:t>
      </w:r>
      <w:proofErr w:type="spellEnd"/>
      <w:r w:rsidRPr="00EF0408">
        <w:rPr>
          <w:rFonts w:ascii="Arial" w:eastAsia="Times New Roman" w:hAnsi="Arial" w:cs="Arial"/>
          <w:color w:val="000000"/>
          <w:sz w:val="24"/>
          <w:szCs w:val="24"/>
          <w:lang w:eastAsia="ru-RU"/>
        </w:rPr>
        <w:t xml:space="preserve"> формализованные алгоритмы анализа применяются достаточно редко. Основная трудность здесь состоит в том, что невозможно оценить вероятности исходов. Основной критерий - максимизация прибыли - здесь не срабатывает, поэтому применяют другие критерии: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максимин (максимизация минимальной прибыли):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proofErr w:type="spellStart"/>
      <w:r w:rsidRPr="00EF0408">
        <w:rPr>
          <w:rFonts w:ascii="Arial" w:eastAsia="Times New Roman" w:hAnsi="Arial" w:cs="Arial"/>
          <w:color w:val="000000"/>
          <w:sz w:val="24"/>
          <w:szCs w:val="24"/>
          <w:lang w:eastAsia="ru-RU"/>
        </w:rPr>
        <w:t>Максиминное</w:t>
      </w:r>
      <w:proofErr w:type="spellEnd"/>
      <w:r w:rsidRPr="00EF0408">
        <w:rPr>
          <w:rFonts w:ascii="Arial" w:eastAsia="Times New Roman" w:hAnsi="Arial" w:cs="Arial"/>
          <w:color w:val="000000"/>
          <w:sz w:val="24"/>
          <w:szCs w:val="24"/>
          <w:lang w:eastAsia="ru-RU"/>
        </w:rPr>
        <w:t xml:space="preserve"> решение – это решение, при котором </w:t>
      </w:r>
      <w:proofErr w:type="spellStart"/>
      <w:r w:rsidRPr="00EF0408">
        <w:rPr>
          <w:rFonts w:ascii="Arial" w:eastAsia="Times New Roman" w:hAnsi="Arial" w:cs="Arial"/>
          <w:color w:val="000000"/>
          <w:sz w:val="24"/>
          <w:szCs w:val="24"/>
          <w:lang w:eastAsia="ru-RU"/>
        </w:rPr>
        <w:t>максимизируется</w:t>
      </w:r>
      <w:proofErr w:type="spellEnd"/>
      <w:r w:rsidRPr="00EF0408">
        <w:rPr>
          <w:rFonts w:ascii="Arial" w:eastAsia="Times New Roman" w:hAnsi="Arial" w:cs="Arial"/>
          <w:color w:val="000000"/>
          <w:sz w:val="24"/>
          <w:szCs w:val="24"/>
          <w:lang w:eastAsia="ru-RU"/>
        </w:rPr>
        <w:t xml:space="preserve"> минимально возможный доход. Данный метод в большей степени учитывает отрицательные моменты различных исходов и является более осторожным подходом к принятию решений.</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минимакс (минимизация максимальных потерь):</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Минимаксное решение – это решение, при котором минимизируются максимальные потери. Это наиболее осторожный подход к принятию решений и наиболее учитывающий все возможные риски. Под потерями здесь учитываются не только реальные потери, но и упущенные возможности.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xml:space="preserve">— </w:t>
      </w:r>
      <w:proofErr w:type="spellStart"/>
      <w:r w:rsidRPr="00EF0408">
        <w:rPr>
          <w:rFonts w:ascii="Arial" w:eastAsia="Times New Roman" w:hAnsi="Arial" w:cs="Arial"/>
          <w:color w:val="000000"/>
          <w:sz w:val="24"/>
          <w:szCs w:val="24"/>
          <w:lang w:eastAsia="ru-RU"/>
        </w:rPr>
        <w:t>максимакс</w:t>
      </w:r>
      <w:proofErr w:type="spellEnd"/>
      <w:r w:rsidRPr="00EF0408">
        <w:rPr>
          <w:rFonts w:ascii="Arial" w:eastAsia="Times New Roman" w:hAnsi="Arial" w:cs="Arial"/>
          <w:b/>
          <w:bCs/>
          <w:color w:val="000000"/>
          <w:sz w:val="24"/>
          <w:szCs w:val="24"/>
          <w:lang w:eastAsia="ru-RU"/>
        </w:rPr>
        <w:t> </w:t>
      </w:r>
      <w:r w:rsidRPr="00EF0408">
        <w:rPr>
          <w:rFonts w:ascii="Arial" w:eastAsia="Times New Roman" w:hAnsi="Arial" w:cs="Arial"/>
          <w:color w:val="000000"/>
          <w:sz w:val="24"/>
          <w:szCs w:val="24"/>
          <w:lang w:eastAsia="ru-RU"/>
        </w:rPr>
        <w:t>(максимизация максимальной прибыли):</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proofErr w:type="spellStart"/>
      <w:r w:rsidRPr="00EF0408">
        <w:rPr>
          <w:rFonts w:ascii="Arial" w:eastAsia="Times New Roman" w:hAnsi="Arial" w:cs="Arial"/>
          <w:color w:val="000000"/>
          <w:sz w:val="24"/>
          <w:szCs w:val="24"/>
          <w:lang w:eastAsia="ru-RU"/>
        </w:rPr>
        <w:t>Максимаксное</w:t>
      </w:r>
      <w:proofErr w:type="spellEnd"/>
      <w:r w:rsidRPr="00EF0408">
        <w:rPr>
          <w:rFonts w:ascii="Arial" w:eastAsia="Times New Roman" w:hAnsi="Arial" w:cs="Arial"/>
          <w:color w:val="000000"/>
          <w:sz w:val="24"/>
          <w:szCs w:val="24"/>
          <w:lang w:eastAsia="ru-RU"/>
        </w:rPr>
        <w:t xml:space="preserve"> решение – это решение, при котором принимается решение по максимизации максимально возможных доходов. Данный метод очень оптимистичен, то есть не учитывает возможные потери и, следовательно, самый рискованный.</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Решение есть состояние неопределенности, вызванная необходимостью выбора действий, которые позволят достичь определенного, заранее заданного результата. Эта неопределенность может принимать ряд форм и представлять:</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стандартное решение, при принятии которого существует фиксированный набор альтернатив;</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бинарное решение («да» или «нет»);</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t>— многоальтернативное решение (имеется очень широкий спектр альтернатив);</w:t>
      </w:r>
    </w:p>
    <w:p w:rsidR="00EF0408" w:rsidRPr="00EF0408" w:rsidRDefault="00EF0408" w:rsidP="00EF0408">
      <w:pPr>
        <w:spacing w:before="100" w:beforeAutospacing="1" w:after="100" w:afterAutospacing="1" w:line="240" w:lineRule="auto"/>
        <w:rPr>
          <w:rFonts w:ascii="Arial" w:eastAsia="Times New Roman" w:hAnsi="Arial" w:cs="Arial"/>
          <w:color w:val="000000"/>
          <w:sz w:val="24"/>
          <w:szCs w:val="24"/>
          <w:lang w:eastAsia="ru-RU"/>
        </w:rPr>
      </w:pPr>
      <w:r w:rsidRPr="00EF0408">
        <w:rPr>
          <w:rFonts w:ascii="Arial" w:eastAsia="Times New Roman" w:hAnsi="Arial" w:cs="Arial"/>
          <w:color w:val="000000"/>
          <w:sz w:val="24"/>
          <w:szCs w:val="24"/>
          <w:lang w:eastAsia="ru-RU"/>
        </w:rPr>
        <w:lastRenderedPageBreak/>
        <w:t>— инновационное (новаторское) решение, когда требуется предпринять действия, но нет приемлемых альтернатив.</w:t>
      </w:r>
    </w:p>
    <w:p w:rsidR="00EF0408" w:rsidRDefault="00EF0408" w:rsidP="00EF0408">
      <w:pPr>
        <w:pStyle w:val="1"/>
        <w:jc w:val="center"/>
        <w:rPr>
          <w:rFonts w:ascii="Arial" w:hAnsi="Arial" w:cs="Arial"/>
          <w:b w:val="0"/>
          <w:bCs w:val="0"/>
          <w:color w:val="000000"/>
          <w:sz w:val="33"/>
          <w:szCs w:val="33"/>
        </w:rPr>
      </w:pPr>
      <w:r>
        <w:rPr>
          <w:rFonts w:ascii="Arial" w:hAnsi="Arial" w:cs="Arial"/>
          <w:b w:val="0"/>
          <w:bCs w:val="0"/>
          <w:color w:val="000000"/>
          <w:sz w:val="33"/>
          <w:szCs w:val="33"/>
        </w:rPr>
        <w:t xml:space="preserve">3. Критерий Лапласа, </w:t>
      </w:r>
      <w:proofErr w:type="spellStart"/>
      <w:r>
        <w:rPr>
          <w:rFonts w:ascii="Arial" w:hAnsi="Arial" w:cs="Arial"/>
          <w:b w:val="0"/>
          <w:bCs w:val="0"/>
          <w:color w:val="000000"/>
          <w:sz w:val="33"/>
          <w:szCs w:val="33"/>
        </w:rPr>
        <w:t>Вальда</w:t>
      </w:r>
      <w:proofErr w:type="spellEnd"/>
      <w:r>
        <w:rPr>
          <w:rFonts w:ascii="Arial" w:hAnsi="Arial" w:cs="Arial"/>
          <w:b w:val="0"/>
          <w:bCs w:val="0"/>
          <w:color w:val="000000"/>
          <w:sz w:val="33"/>
          <w:szCs w:val="33"/>
        </w:rPr>
        <w:t xml:space="preserve">, </w:t>
      </w:r>
      <w:proofErr w:type="spellStart"/>
      <w:r>
        <w:rPr>
          <w:rFonts w:ascii="Arial" w:hAnsi="Arial" w:cs="Arial"/>
          <w:b w:val="0"/>
          <w:bCs w:val="0"/>
          <w:color w:val="000000"/>
          <w:sz w:val="33"/>
          <w:szCs w:val="33"/>
        </w:rPr>
        <w:t>Сэвиджа</w:t>
      </w:r>
      <w:proofErr w:type="spellEnd"/>
      <w:r>
        <w:rPr>
          <w:rFonts w:ascii="Arial" w:hAnsi="Arial" w:cs="Arial"/>
          <w:b w:val="0"/>
          <w:bCs w:val="0"/>
          <w:color w:val="000000"/>
          <w:sz w:val="33"/>
          <w:szCs w:val="33"/>
        </w:rPr>
        <w:t>, Гурвица</w:t>
      </w:r>
    </w:p>
    <w:p w:rsidR="00EF0408" w:rsidRDefault="00EF0408" w:rsidP="00EF0408">
      <w:pPr>
        <w:pStyle w:val="a3"/>
        <w:rPr>
          <w:rFonts w:ascii="Arial" w:hAnsi="Arial" w:cs="Arial"/>
          <w:color w:val="000000"/>
        </w:rPr>
      </w:pPr>
      <w:r>
        <w:rPr>
          <w:rFonts w:ascii="Arial" w:hAnsi="Arial" w:cs="Arial"/>
          <w:color w:val="000000"/>
        </w:rPr>
        <w:t>Существует несколько критериев для выбора оптимальной стратегии при принятии решения в условиях риска и неопределенности.</w:t>
      </w:r>
    </w:p>
    <w:p w:rsidR="00EF0408" w:rsidRDefault="00EF0408" w:rsidP="00EF0408">
      <w:pPr>
        <w:pStyle w:val="a3"/>
        <w:rPr>
          <w:rFonts w:ascii="Arial" w:hAnsi="Arial" w:cs="Arial"/>
          <w:color w:val="000000"/>
        </w:rPr>
      </w:pPr>
      <w:r>
        <w:rPr>
          <w:rFonts w:ascii="Arial" w:hAnsi="Arial" w:cs="Arial"/>
          <w:i/>
          <w:iCs/>
          <w:color w:val="000000"/>
        </w:rPr>
        <w:t xml:space="preserve">Критерий </w:t>
      </w:r>
      <w:proofErr w:type="spellStart"/>
      <w:proofErr w:type="gramStart"/>
      <w:r>
        <w:rPr>
          <w:rFonts w:ascii="Arial" w:hAnsi="Arial" w:cs="Arial"/>
          <w:i/>
          <w:iCs/>
          <w:color w:val="000000"/>
        </w:rPr>
        <w:t>Лапласа:</w:t>
      </w:r>
      <w:r>
        <w:rPr>
          <w:rFonts w:ascii="Arial" w:hAnsi="Arial" w:cs="Arial"/>
          <w:color w:val="000000"/>
        </w:rPr>
        <w:t>применяется</w:t>
      </w:r>
      <w:proofErr w:type="spellEnd"/>
      <w:proofErr w:type="gramEnd"/>
      <w:r>
        <w:rPr>
          <w:rFonts w:ascii="Arial" w:hAnsi="Arial" w:cs="Arial"/>
          <w:color w:val="000000"/>
        </w:rPr>
        <w:t>, если можно предполагать, что все варианты внешних условий одинаково вероятны. Для каждого решения находится средняя оценка по всем вариантам внешних условий (средний выигрыш):</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905000" cy="428625"/>
            <wp:effectExtent l="0" t="0" r="0" b="9525"/>
            <wp:docPr id="12" name="Рисунок 12" descr="https://studfile.net/html/2706/252/html_efh395uGHc.utFj/img-TMwen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252/html_efh395uGHc.utFj/img-TMwenN.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5000" cy="428625"/>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где N– количество состояний внешней среды.</w:t>
      </w:r>
    </w:p>
    <w:p w:rsidR="00EF0408" w:rsidRDefault="00EF0408" w:rsidP="00EF0408">
      <w:pPr>
        <w:pStyle w:val="a3"/>
        <w:rPr>
          <w:rFonts w:ascii="Arial" w:hAnsi="Arial" w:cs="Arial"/>
          <w:color w:val="000000"/>
        </w:rPr>
      </w:pPr>
      <w:r>
        <w:rPr>
          <w:rFonts w:ascii="Arial" w:hAnsi="Arial" w:cs="Arial"/>
          <w:color w:val="000000"/>
        </w:rPr>
        <w:t>Лучшим является решение с максимальной оценкой.</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162050" cy="180975"/>
            <wp:effectExtent l="0" t="0" r="0" b="9525"/>
            <wp:docPr id="11" name="Рисунок 11" descr="https://studfile.net/html/2706/252/html_efh395uGHc.utFj/img-4d43k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52/html_efh395uGHc.utFj/img-4d43kY.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62050" cy="180975"/>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где Z – оптимальная стратегия.</w:t>
      </w:r>
    </w:p>
    <w:p w:rsidR="00EF0408" w:rsidRDefault="00EF0408" w:rsidP="00EF0408">
      <w:pPr>
        <w:pStyle w:val="a3"/>
        <w:rPr>
          <w:rFonts w:ascii="Arial" w:hAnsi="Arial" w:cs="Arial"/>
          <w:color w:val="000000"/>
        </w:rPr>
      </w:pPr>
      <w:r>
        <w:rPr>
          <w:rFonts w:ascii="Arial" w:hAnsi="Arial" w:cs="Arial"/>
          <w:i/>
          <w:iCs/>
          <w:color w:val="000000"/>
        </w:rPr>
        <w:t xml:space="preserve">Критерий </w:t>
      </w:r>
      <w:proofErr w:type="spellStart"/>
      <w:r>
        <w:rPr>
          <w:rFonts w:ascii="Arial" w:hAnsi="Arial" w:cs="Arial"/>
          <w:i/>
          <w:iCs/>
          <w:color w:val="000000"/>
        </w:rPr>
        <w:t>Вальда</w:t>
      </w:r>
      <w:proofErr w:type="spellEnd"/>
      <w:r>
        <w:rPr>
          <w:rFonts w:ascii="Arial" w:hAnsi="Arial" w:cs="Arial"/>
          <w:i/>
          <w:iCs/>
          <w:color w:val="000000"/>
        </w:rPr>
        <w:t>:</w:t>
      </w:r>
      <w:r>
        <w:rPr>
          <w:rFonts w:ascii="Arial" w:hAnsi="Arial" w:cs="Arial"/>
          <w:color w:val="000000"/>
        </w:rPr>
        <w:t xml:space="preserve"> (критерий крайнего пессимизма, </w:t>
      </w:r>
      <w:proofErr w:type="spellStart"/>
      <w:r>
        <w:rPr>
          <w:rFonts w:ascii="Arial" w:hAnsi="Arial" w:cs="Arial"/>
          <w:color w:val="000000"/>
        </w:rPr>
        <w:t>максиминный</w:t>
      </w:r>
      <w:proofErr w:type="spellEnd"/>
      <w:r>
        <w:rPr>
          <w:rFonts w:ascii="Arial" w:hAnsi="Arial" w:cs="Arial"/>
          <w:color w:val="000000"/>
        </w:rPr>
        <w:t xml:space="preserve"> критерий): решение выбирается в расчете на наихудшие внешние условия. Вероятности состояний природы неизвестны и нет возможности получить о них какую-либо статистическую информацию. В качестве оценки каждого решения используется минимальный выигрыш, который можно получить при выборе этого решения:</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190625" cy="209550"/>
            <wp:effectExtent l="0" t="0" r="9525" b="0"/>
            <wp:docPr id="10" name="Рисунок 10" descr="https://studfile.net/html/2706/252/html_efh395uGHc.utFj/img-nS1Fx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252/html_efh395uGHc.utFj/img-nS1Fx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0625" cy="209550"/>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Лучшим является решение с максимальной оценкой.</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162050" cy="180975"/>
            <wp:effectExtent l="0" t="0" r="0" b="9525"/>
            <wp:docPr id="9" name="Рисунок 9" descr="https://studfile.net/html/2706/252/html_efh395uGHc.utFj/img-4b1eJ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252/html_efh395uGHc.utFj/img-4b1eJB.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80975"/>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Лучшим является решение с максимальной оценкой.</w:t>
      </w:r>
    </w:p>
    <w:p w:rsidR="00EF0408" w:rsidRDefault="00EF0408" w:rsidP="00EF0408">
      <w:pPr>
        <w:pStyle w:val="a3"/>
        <w:rPr>
          <w:rFonts w:ascii="Arial" w:hAnsi="Arial" w:cs="Arial"/>
          <w:color w:val="000000"/>
        </w:rPr>
      </w:pPr>
      <w:r>
        <w:rPr>
          <w:rFonts w:ascii="Arial" w:hAnsi="Arial" w:cs="Arial"/>
          <w:color w:val="000000"/>
        </w:rPr>
        <w:t xml:space="preserve">По критерию </w:t>
      </w:r>
      <w:proofErr w:type="spellStart"/>
      <w:r>
        <w:rPr>
          <w:rFonts w:ascii="Arial" w:hAnsi="Arial" w:cs="Arial"/>
          <w:color w:val="000000"/>
        </w:rPr>
        <w:t>Вальда</w:t>
      </w:r>
      <w:proofErr w:type="spellEnd"/>
      <w:r>
        <w:rPr>
          <w:rFonts w:ascii="Arial" w:hAnsi="Arial" w:cs="Arial"/>
          <w:color w:val="000000"/>
        </w:rPr>
        <w:t xml:space="preserve"> выбирают стратегию, которая дает гарантированный выигрыш при наихудшем варианте состояния природы.</w:t>
      </w:r>
    </w:p>
    <w:p w:rsidR="00EF0408" w:rsidRDefault="00EF0408" w:rsidP="00EF0408">
      <w:pPr>
        <w:pStyle w:val="a3"/>
        <w:rPr>
          <w:rFonts w:ascii="Arial" w:hAnsi="Arial" w:cs="Arial"/>
          <w:color w:val="000000"/>
        </w:rPr>
      </w:pPr>
      <w:r>
        <w:rPr>
          <w:rFonts w:ascii="Arial" w:hAnsi="Arial" w:cs="Arial"/>
          <w:i/>
          <w:iCs/>
          <w:color w:val="000000"/>
        </w:rPr>
        <w:t xml:space="preserve">Критерий </w:t>
      </w:r>
      <w:proofErr w:type="spellStart"/>
      <w:r>
        <w:rPr>
          <w:rFonts w:ascii="Arial" w:hAnsi="Arial" w:cs="Arial"/>
          <w:i/>
          <w:iCs/>
          <w:color w:val="000000"/>
        </w:rPr>
        <w:t>Сэвиджа</w:t>
      </w:r>
      <w:proofErr w:type="spellEnd"/>
      <w:r>
        <w:rPr>
          <w:rFonts w:ascii="Arial" w:hAnsi="Arial" w:cs="Arial"/>
          <w:i/>
          <w:iCs/>
          <w:color w:val="000000"/>
        </w:rPr>
        <w:t>,</w:t>
      </w:r>
      <w:r>
        <w:rPr>
          <w:rFonts w:ascii="Arial" w:hAnsi="Arial" w:cs="Arial"/>
          <w:color w:val="000000"/>
        </w:rPr>
        <w:t xml:space="preserve"> как и критерий </w:t>
      </w:r>
      <w:proofErr w:type="spellStart"/>
      <w:r>
        <w:rPr>
          <w:rFonts w:ascii="Arial" w:hAnsi="Arial" w:cs="Arial"/>
          <w:color w:val="000000"/>
        </w:rPr>
        <w:t>Вальда</w:t>
      </w:r>
      <w:proofErr w:type="spellEnd"/>
      <w:r>
        <w:rPr>
          <w:rFonts w:ascii="Arial" w:hAnsi="Arial" w:cs="Arial"/>
          <w:color w:val="000000"/>
        </w:rPr>
        <w:t>, - это критерий крайнего пессимизма, но только пессимизм здесь проявляется в том, что минимизируется максимальная поте</w:t>
      </w:r>
      <w:r>
        <w:rPr>
          <w:rFonts w:ascii="Arial" w:hAnsi="Arial" w:cs="Arial"/>
          <w:color w:val="000000"/>
        </w:rPr>
        <w:softHyphen/>
        <w:t>ря в выигрыше. Для оценки решений используется матрица рисков. В качестве оценки используется максимальный риск (максимальный потерянный выигрыш), соответствующий данному решению:</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038225" cy="266700"/>
            <wp:effectExtent l="0" t="0" r="9525" b="0"/>
            <wp:docPr id="8" name="Рисунок 8" descr="https://studfile.net/html/2706/252/html_efh395uGHc.utFj/img-YGH2v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252/html_efh395uGHc.utFj/img-YGH2vr.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8225" cy="266700"/>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Лучшим является решение с минимальной оценкой.</w:t>
      </w:r>
    </w:p>
    <w:p w:rsidR="00EF0408" w:rsidRDefault="00EF0408" w:rsidP="00EF0408">
      <w:pPr>
        <w:pStyle w:val="a3"/>
        <w:jc w:val="center"/>
        <w:rPr>
          <w:rFonts w:ascii="Arial" w:hAnsi="Arial" w:cs="Arial"/>
          <w:color w:val="000000"/>
        </w:rPr>
      </w:pPr>
      <w:r>
        <w:rPr>
          <w:rFonts w:ascii="Arial" w:hAnsi="Arial" w:cs="Arial"/>
          <w:noProof/>
          <w:color w:val="000000"/>
        </w:rPr>
        <w:lastRenderedPageBreak/>
        <w:drawing>
          <wp:inline distT="0" distB="0" distL="0" distR="0">
            <wp:extent cx="1133475" cy="180975"/>
            <wp:effectExtent l="0" t="0" r="9525" b="9525"/>
            <wp:docPr id="7" name="Рисунок 7" descr="https://studfile.net/html/2706/252/html_efh395uGHc.utFj/img-6_Sqk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file.net/html/2706/252/html_efh395uGHc.utFj/img-6_Sqkj.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33475" cy="180975"/>
                    </a:xfrm>
                    <a:prstGeom prst="rect">
                      <a:avLst/>
                    </a:prstGeom>
                    <a:noFill/>
                    <a:ln>
                      <a:noFill/>
                    </a:ln>
                  </pic:spPr>
                </pic:pic>
              </a:graphicData>
            </a:graphic>
          </wp:inline>
        </w:drawing>
      </w:r>
    </w:p>
    <w:p w:rsidR="00EF0408" w:rsidRDefault="00EF0408" w:rsidP="00EF0408">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Это наиболее осторожный подход к принятию решений и наиболее учитывающий все возможные риски.</w:t>
      </w:r>
    </w:p>
    <w:p w:rsidR="00EF0408" w:rsidRDefault="00EF0408" w:rsidP="00EF0408">
      <w:pPr>
        <w:pStyle w:val="a3"/>
        <w:rPr>
          <w:rFonts w:ascii="Arial" w:hAnsi="Arial" w:cs="Arial"/>
          <w:color w:val="000000"/>
        </w:rPr>
      </w:pPr>
      <w:r>
        <w:rPr>
          <w:rFonts w:ascii="Arial" w:hAnsi="Arial" w:cs="Arial"/>
          <w:i/>
          <w:iCs/>
          <w:color w:val="000000"/>
        </w:rPr>
        <w:t>Критерий Гурвица:</w:t>
      </w:r>
      <w:r>
        <w:rPr>
          <w:rFonts w:ascii="Arial" w:hAnsi="Arial" w:cs="Arial"/>
          <w:b/>
          <w:bCs/>
          <w:color w:val="000000"/>
        </w:rPr>
        <w:t> </w:t>
      </w:r>
      <w:r>
        <w:rPr>
          <w:rFonts w:ascii="Arial" w:hAnsi="Arial" w:cs="Arial"/>
          <w:color w:val="000000"/>
        </w:rPr>
        <w:t>решение принимается с учетом того, что возможны как благоприятные, так и неблагоприятные внешние условия. При использовании этого критерия требуется указать «коэффициент пессимизма» – число в диапазоне от 0 до 1, представляющее собой субъективную (т.е. не рассчитанную, а указанную человеком) оценку возможности неблагоприятных внешних условий. Если есть основания предполагать, что внешние условия будут неблагоприятными, то коэффициент пессимизма назначается близким к единице. Если неблагоприятные внешние условия маловероятны, то используется коэффициент пессимизма, близкий к нулю. Оценки решений находятся по следующей формуле:</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2295525" cy="209550"/>
            <wp:effectExtent l="0" t="0" r="9525" b="0"/>
            <wp:docPr id="6" name="Рисунок 6" descr="https://studfile.net/html/2706/252/html_efh395uGHc.utFj/img-QDR8Y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file.net/html/2706/252/html_efh395uGHc.utFj/img-QDR8Yw.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95525" cy="209550"/>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где a – коэффициент пессимизма.</w:t>
      </w:r>
    </w:p>
    <w:p w:rsidR="00EF0408" w:rsidRDefault="00EF0408" w:rsidP="00EF0408">
      <w:pPr>
        <w:pStyle w:val="a3"/>
        <w:rPr>
          <w:rFonts w:ascii="Arial" w:hAnsi="Arial" w:cs="Arial"/>
          <w:color w:val="000000"/>
        </w:rPr>
      </w:pPr>
      <w:r>
        <w:rPr>
          <w:rFonts w:ascii="Arial" w:hAnsi="Arial" w:cs="Arial"/>
          <w:color w:val="000000"/>
        </w:rPr>
        <w:t>Лучшим является решение с максимальной оценкой:</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162050" cy="180975"/>
            <wp:effectExtent l="0" t="0" r="0" b="9525"/>
            <wp:docPr id="5" name="Рисунок 5" descr="https://studfile.net/html/2706/252/html_efh395uGHc.utFj/img-3MexZ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file.net/html/2706/252/html_efh395uGHc.utFj/img-3MexZ7.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80975"/>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Кроме критериев оптимальности, которые можно применять при принятии решения в условиях риска и неопределенности, существует очень известный и распространенный метод теории игр, используемый в управленческой деятельности в условиях неопределенности.</w:t>
      </w:r>
    </w:p>
    <w:p w:rsidR="00EF0408" w:rsidRDefault="00EF0408" w:rsidP="00EF0408">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4. Метод теории игр при принятии решений в условиях неопределенности</w:t>
      </w:r>
    </w:p>
    <w:p w:rsidR="00EF0408" w:rsidRDefault="00EF0408" w:rsidP="00EF0408">
      <w:pPr>
        <w:pStyle w:val="a3"/>
        <w:rPr>
          <w:rFonts w:ascii="Arial" w:hAnsi="Arial" w:cs="Arial"/>
          <w:color w:val="000000"/>
        </w:rPr>
      </w:pPr>
      <w:r>
        <w:rPr>
          <w:rFonts w:ascii="Arial" w:hAnsi="Arial" w:cs="Arial"/>
          <w:color w:val="000000"/>
        </w:rPr>
        <w:t xml:space="preserve">При принятии решений в условиях неопределенности очень широко используется метод теории игр. Теория игр – это математическая теория конфликтных ситуаций. Задача этой </w:t>
      </w:r>
      <w:proofErr w:type="spellStart"/>
      <w:r>
        <w:rPr>
          <w:rFonts w:ascii="Arial" w:hAnsi="Arial" w:cs="Arial"/>
          <w:color w:val="000000"/>
        </w:rPr>
        <w:t>теоpии</w:t>
      </w:r>
      <w:proofErr w:type="spellEnd"/>
      <w:r>
        <w:rPr>
          <w:rFonts w:ascii="Arial" w:hAnsi="Arial" w:cs="Arial"/>
          <w:color w:val="000000"/>
        </w:rPr>
        <w:t xml:space="preserve"> – выработка рекомендаций по рациональному образу действий участников конфликта. При этом строят упрошенную модель конфликтной ситуации, называемую игрой. Под «игрой» понимают мероприятие, состоящее из ряда действий или «ходов». От реальной конфликтной ситуации игра отличается тем, что ведется по вполне определенным правилам. Сторо</w:t>
      </w:r>
      <w:r>
        <w:rPr>
          <w:rFonts w:ascii="Arial" w:hAnsi="Arial" w:cs="Arial"/>
          <w:color w:val="000000"/>
        </w:rPr>
        <w:softHyphen/>
        <w:t>ны, участвующие в конфликте, называют игроками, исход конфликта - выигрышем и т.д.</w:t>
      </w:r>
    </w:p>
    <w:p w:rsidR="00EF0408" w:rsidRDefault="00EF0408" w:rsidP="00EF0408">
      <w:pPr>
        <w:pStyle w:val="a3"/>
        <w:rPr>
          <w:rFonts w:ascii="Arial" w:hAnsi="Arial" w:cs="Arial"/>
          <w:color w:val="000000"/>
        </w:rPr>
      </w:pPr>
      <w:r>
        <w:rPr>
          <w:rFonts w:ascii="Arial" w:hAnsi="Arial" w:cs="Arial"/>
          <w:color w:val="000000"/>
        </w:rPr>
        <w:t>Если в игре сталкиваются интересы двух сторон, то игра называется парной, если сторон больше - множествен</w:t>
      </w:r>
      <w:r>
        <w:rPr>
          <w:rFonts w:ascii="Arial" w:hAnsi="Arial" w:cs="Arial"/>
          <w:color w:val="000000"/>
        </w:rPr>
        <w:softHyphen/>
        <w:t>ной. Множественная игра с двумя постоянными коалициями обращает игру в парную. Наибольшее практическое значе</w:t>
      </w:r>
      <w:r>
        <w:rPr>
          <w:rFonts w:ascii="Arial" w:hAnsi="Arial" w:cs="Arial"/>
          <w:color w:val="000000"/>
        </w:rPr>
        <w:softHyphen/>
        <w:t xml:space="preserve">ние имеют парные игры. </w:t>
      </w:r>
      <w:proofErr w:type="spellStart"/>
      <w:r>
        <w:rPr>
          <w:rFonts w:ascii="Arial" w:hAnsi="Arial" w:cs="Arial"/>
          <w:color w:val="000000"/>
        </w:rPr>
        <w:t>Рассматрим</w:t>
      </w:r>
      <w:proofErr w:type="spellEnd"/>
      <w:r>
        <w:rPr>
          <w:rFonts w:ascii="Arial" w:hAnsi="Arial" w:cs="Arial"/>
          <w:color w:val="000000"/>
        </w:rPr>
        <w:t xml:space="preserve"> конечную игру, в которой игрок А имеет m стратегий, а игрок В - n стратегий. Та</w:t>
      </w:r>
      <w:r>
        <w:rPr>
          <w:rFonts w:ascii="Arial" w:hAnsi="Arial" w:cs="Arial"/>
          <w:color w:val="000000"/>
        </w:rPr>
        <w:softHyphen/>
        <w:t>кая игра называется m x n. Стратегии, соответственно, обозначим: А</w:t>
      </w:r>
      <w:r>
        <w:rPr>
          <w:rFonts w:ascii="Arial" w:hAnsi="Arial" w:cs="Arial"/>
          <w:color w:val="000000"/>
          <w:vertAlign w:val="subscript"/>
        </w:rPr>
        <w:t>1</w:t>
      </w:r>
      <w:r>
        <w:rPr>
          <w:rFonts w:ascii="Arial" w:hAnsi="Arial" w:cs="Arial"/>
          <w:color w:val="000000"/>
        </w:rPr>
        <w:t>, А</w:t>
      </w:r>
      <w:proofErr w:type="gramStart"/>
      <w:r>
        <w:rPr>
          <w:rFonts w:ascii="Arial" w:hAnsi="Arial" w:cs="Arial"/>
          <w:color w:val="000000"/>
          <w:vertAlign w:val="subscript"/>
        </w:rPr>
        <w:t>2</w:t>
      </w:r>
      <w:r>
        <w:rPr>
          <w:rFonts w:ascii="Arial" w:hAnsi="Arial" w:cs="Arial"/>
          <w:color w:val="000000"/>
        </w:rPr>
        <w:t> ,</w:t>
      </w:r>
      <w:proofErr w:type="gramEnd"/>
      <w:r>
        <w:rPr>
          <w:rFonts w:ascii="Arial" w:hAnsi="Arial" w:cs="Arial"/>
          <w:color w:val="000000"/>
        </w:rPr>
        <w:t xml:space="preserve"> ..., </w:t>
      </w:r>
      <w:proofErr w:type="spellStart"/>
      <w:r>
        <w:rPr>
          <w:rFonts w:ascii="Arial" w:hAnsi="Arial" w:cs="Arial"/>
          <w:color w:val="000000"/>
        </w:rPr>
        <w:t>А</w:t>
      </w:r>
      <w:r>
        <w:rPr>
          <w:rFonts w:ascii="Arial" w:hAnsi="Arial" w:cs="Arial"/>
          <w:color w:val="000000"/>
          <w:vertAlign w:val="subscript"/>
        </w:rPr>
        <w:t>m</w:t>
      </w:r>
      <w:proofErr w:type="spellEnd"/>
      <w:r>
        <w:rPr>
          <w:rFonts w:ascii="Arial" w:hAnsi="Arial" w:cs="Arial"/>
          <w:color w:val="000000"/>
        </w:rPr>
        <w:t> - для игрока А; В</w:t>
      </w:r>
      <w:r>
        <w:rPr>
          <w:rFonts w:ascii="Arial" w:hAnsi="Arial" w:cs="Arial"/>
          <w:color w:val="000000"/>
          <w:vertAlign w:val="subscript"/>
        </w:rPr>
        <w:t>1</w:t>
      </w:r>
      <w:r>
        <w:rPr>
          <w:rFonts w:ascii="Arial" w:hAnsi="Arial" w:cs="Arial"/>
          <w:color w:val="000000"/>
        </w:rPr>
        <w:t>, В</w:t>
      </w:r>
      <w:r>
        <w:rPr>
          <w:rFonts w:ascii="Arial" w:hAnsi="Arial" w:cs="Arial"/>
          <w:color w:val="000000"/>
          <w:vertAlign w:val="subscript"/>
        </w:rPr>
        <w:t>2</w:t>
      </w:r>
      <w:r>
        <w:rPr>
          <w:rFonts w:ascii="Arial" w:hAnsi="Arial" w:cs="Arial"/>
          <w:color w:val="000000"/>
        </w:rPr>
        <w:t xml:space="preserve">, ..., </w:t>
      </w:r>
      <w:proofErr w:type="spellStart"/>
      <w:r>
        <w:rPr>
          <w:rFonts w:ascii="Arial" w:hAnsi="Arial" w:cs="Arial"/>
          <w:color w:val="000000"/>
        </w:rPr>
        <w:t>В</w:t>
      </w:r>
      <w:r>
        <w:rPr>
          <w:rFonts w:ascii="Arial" w:hAnsi="Arial" w:cs="Arial"/>
          <w:color w:val="000000"/>
          <w:vertAlign w:val="subscript"/>
        </w:rPr>
        <w:t>n</w:t>
      </w:r>
      <w:proofErr w:type="spellEnd"/>
      <w:r>
        <w:rPr>
          <w:rFonts w:ascii="Arial" w:hAnsi="Arial" w:cs="Arial"/>
          <w:color w:val="000000"/>
        </w:rPr>
        <w:t xml:space="preserve"> - для игрока В. Если игра состоит только из личных ходов, то выбор стратегий </w:t>
      </w:r>
      <w:proofErr w:type="spellStart"/>
      <w:r>
        <w:rPr>
          <w:rFonts w:ascii="Arial" w:hAnsi="Arial" w:cs="Arial"/>
          <w:color w:val="000000"/>
        </w:rPr>
        <w:t>А</w:t>
      </w:r>
      <w:r>
        <w:rPr>
          <w:rFonts w:ascii="Arial" w:hAnsi="Arial" w:cs="Arial"/>
          <w:color w:val="000000"/>
          <w:vertAlign w:val="subscript"/>
        </w:rPr>
        <w:t>i</w:t>
      </w:r>
      <w:proofErr w:type="spellEnd"/>
      <w:r>
        <w:rPr>
          <w:rFonts w:ascii="Arial" w:hAnsi="Arial" w:cs="Arial"/>
          <w:color w:val="000000"/>
        </w:rPr>
        <w:t xml:space="preserve"> и </w:t>
      </w:r>
      <w:proofErr w:type="spellStart"/>
      <w:r>
        <w:rPr>
          <w:rFonts w:ascii="Arial" w:hAnsi="Arial" w:cs="Arial"/>
          <w:color w:val="000000"/>
        </w:rPr>
        <w:t>В</w:t>
      </w:r>
      <w:r>
        <w:rPr>
          <w:rFonts w:ascii="Arial" w:hAnsi="Arial" w:cs="Arial"/>
          <w:color w:val="000000"/>
          <w:vertAlign w:val="subscript"/>
        </w:rPr>
        <w:t>j</w:t>
      </w:r>
      <w:proofErr w:type="spellEnd"/>
      <w:r>
        <w:rPr>
          <w:rFonts w:ascii="Arial" w:hAnsi="Arial" w:cs="Arial"/>
          <w:color w:val="000000"/>
        </w:rPr>
        <w:t xml:space="preserve"> игроками однозначно определяет исход игры - наш выигрыш </w:t>
      </w:r>
      <w:proofErr w:type="spellStart"/>
      <w:r>
        <w:rPr>
          <w:rFonts w:ascii="Arial" w:hAnsi="Arial" w:cs="Arial"/>
          <w:color w:val="000000"/>
        </w:rPr>
        <w:t>a</w:t>
      </w:r>
      <w:r>
        <w:rPr>
          <w:rFonts w:ascii="Arial" w:hAnsi="Arial" w:cs="Arial"/>
          <w:color w:val="000000"/>
          <w:vertAlign w:val="subscript"/>
        </w:rPr>
        <w:t>ij</w:t>
      </w:r>
      <w:proofErr w:type="spellEnd"/>
      <w:r>
        <w:rPr>
          <w:rFonts w:ascii="Arial" w:hAnsi="Arial" w:cs="Arial"/>
          <w:color w:val="000000"/>
        </w:rPr>
        <w:t> </w:t>
      </w:r>
      <w:proofErr w:type="gramStart"/>
      <w:r>
        <w:rPr>
          <w:rFonts w:ascii="Arial" w:hAnsi="Arial" w:cs="Arial"/>
          <w:color w:val="000000"/>
        </w:rPr>
        <w:t>Если</w:t>
      </w:r>
      <w:proofErr w:type="gramEnd"/>
      <w:r>
        <w:rPr>
          <w:rFonts w:ascii="Arial" w:hAnsi="Arial" w:cs="Arial"/>
          <w:color w:val="000000"/>
        </w:rPr>
        <w:t xml:space="preserve"> известны </w:t>
      </w:r>
      <w:proofErr w:type="spellStart"/>
      <w:r>
        <w:rPr>
          <w:rFonts w:ascii="Arial" w:hAnsi="Arial" w:cs="Arial"/>
          <w:color w:val="000000"/>
        </w:rPr>
        <w:t>a</w:t>
      </w:r>
      <w:r>
        <w:rPr>
          <w:rFonts w:ascii="Arial" w:hAnsi="Arial" w:cs="Arial"/>
          <w:color w:val="000000"/>
          <w:vertAlign w:val="subscript"/>
        </w:rPr>
        <w:t>ij</w:t>
      </w:r>
      <w:proofErr w:type="spellEnd"/>
      <w:r>
        <w:rPr>
          <w:rFonts w:ascii="Arial" w:hAnsi="Arial" w:cs="Arial"/>
          <w:color w:val="000000"/>
        </w:rPr>
        <w:t xml:space="preserve"> для всех сочетаний </w:t>
      </w:r>
      <w:r>
        <w:rPr>
          <w:rFonts w:ascii="Arial" w:hAnsi="Arial" w:cs="Arial"/>
          <w:color w:val="000000"/>
        </w:rPr>
        <w:lastRenderedPageBreak/>
        <w:t>стратегий, то они образуют платежную матрицу размером m x п, где: m - число строк матрицы, а n - число его столбцов.</w:t>
      </w:r>
    </w:p>
    <w:p w:rsidR="00EF0408" w:rsidRDefault="00EF0408" w:rsidP="00EF0408">
      <w:pPr>
        <w:pStyle w:val="a3"/>
        <w:rPr>
          <w:rFonts w:ascii="Arial" w:hAnsi="Arial" w:cs="Arial"/>
          <w:color w:val="000000"/>
        </w:rPr>
      </w:pPr>
      <w:r>
        <w:rPr>
          <w:rFonts w:ascii="Arial" w:hAnsi="Arial" w:cs="Arial"/>
          <w:color w:val="000000"/>
        </w:rPr>
        <w:t>Принцип осторожности, диктующий игрокам выбор соответствующих стратегий (</w:t>
      </w:r>
      <w:proofErr w:type="spellStart"/>
      <w:r>
        <w:rPr>
          <w:rFonts w:ascii="Arial" w:hAnsi="Arial" w:cs="Arial"/>
          <w:color w:val="000000"/>
        </w:rPr>
        <w:t>максиминной</w:t>
      </w:r>
      <w:proofErr w:type="spellEnd"/>
      <w:r>
        <w:rPr>
          <w:rFonts w:ascii="Arial" w:hAnsi="Arial" w:cs="Arial"/>
          <w:color w:val="000000"/>
        </w:rPr>
        <w:t xml:space="preserve"> и минимаксной), является в теории игр основным принципом и называется принципом минимакса. В платежной матрице такой игры существует элемент, являющийся одновременно минимальным в своей строке и максимальным в своем столбце. Такой элемент назы</w:t>
      </w:r>
      <w:r>
        <w:rPr>
          <w:rFonts w:ascii="Arial" w:hAnsi="Arial" w:cs="Arial"/>
          <w:color w:val="000000"/>
        </w:rPr>
        <w:softHyphen/>
        <w:t xml:space="preserve">вают </w:t>
      </w:r>
      <w:proofErr w:type="spellStart"/>
      <w:r>
        <w:rPr>
          <w:rFonts w:ascii="Arial" w:hAnsi="Arial" w:cs="Arial"/>
          <w:color w:val="000000"/>
        </w:rPr>
        <w:t>седловой</w:t>
      </w:r>
      <w:proofErr w:type="spellEnd"/>
      <w:r>
        <w:rPr>
          <w:rFonts w:ascii="Arial" w:hAnsi="Arial" w:cs="Arial"/>
          <w:color w:val="000000"/>
        </w:rPr>
        <w:t xml:space="preserve"> тонкой. При этом значение v=ą=þ назы</w:t>
      </w:r>
      <w:r>
        <w:rPr>
          <w:rFonts w:ascii="Arial" w:hAnsi="Arial" w:cs="Arial"/>
          <w:color w:val="000000"/>
        </w:rPr>
        <w:softHyphen/>
        <w:t>вают чистой ценой игры. В этом случае решение игры (совокупность оптимальных стратегий игроков) обладает следующим свойством: если один из игроков придерживает</w:t>
      </w:r>
      <w:r>
        <w:rPr>
          <w:rFonts w:ascii="Arial" w:hAnsi="Arial" w:cs="Arial"/>
          <w:color w:val="000000"/>
        </w:rPr>
        <w:softHyphen/>
        <w:t>ся своей оптимальной стратегии, то для другого не может быть выгодным отклоняться от своей оптимальной страте</w:t>
      </w:r>
      <w:r>
        <w:rPr>
          <w:rFonts w:ascii="Arial" w:hAnsi="Arial" w:cs="Arial"/>
          <w:color w:val="000000"/>
        </w:rPr>
        <w:softHyphen/>
        <w:t>гии [2]. Если верхняя цена игры не совпадает с нижней, то в этом случае стоит говорить об игре в смешанных стратегиях. Смешанной S</w:t>
      </w:r>
      <w:r>
        <w:rPr>
          <w:rFonts w:ascii="Arial" w:hAnsi="Arial" w:cs="Arial"/>
          <w:color w:val="000000"/>
          <w:vertAlign w:val="subscript"/>
        </w:rPr>
        <w:t>A</w:t>
      </w:r>
      <w:r>
        <w:rPr>
          <w:rFonts w:ascii="Arial" w:hAnsi="Arial" w:cs="Arial"/>
          <w:color w:val="000000"/>
        </w:rPr>
        <w:t> называется применение чистых стратегий А</w:t>
      </w:r>
      <w:proofErr w:type="gramStart"/>
      <w:r>
        <w:rPr>
          <w:rFonts w:ascii="Arial" w:hAnsi="Arial" w:cs="Arial"/>
          <w:color w:val="000000"/>
          <w:vertAlign w:val="subscript"/>
        </w:rPr>
        <w:t>1</w:t>
      </w:r>
      <w:r>
        <w:rPr>
          <w:rFonts w:ascii="Arial" w:hAnsi="Arial" w:cs="Arial"/>
          <w:color w:val="000000"/>
        </w:rPr>
        <w:t>,А</w:t>
      </w:r>
      <w:proofErr w:type="gramEnd"/>
      <w:r>
        <w:rPr>
          <w:rFonts w:ascii="Arial" w:hAnsi="Arial" w:cs="Arial"/>
          <w:color w:val="000000"/>
          <w:vertAlign w:val="subscript"/>
        </w:rPr>
        <w:t>2</w:t>
      </w:r>
      <w:r>
        <w:rPr>
          <w:rFonts w:ascii="Arial" w:hAnsi="Arial" w:cs="Arial"/>
          <w:color w:val="000000"/>
        </w:rPr>
        <w:t>,…,</w:t>
      </w:r>
      <w:proofErr w:type="spellStart"/>
      <w:r>
        <w:rPr>
          <w:rFonts w:ascii="Arial" w:hAnsi="Arial" w:cs="Arial"/>
          <w:color w:val="000000"/>
        </w:rPr>
        <w:t>А</w:t>
      </w:r>
      <w:r>
        <w:rPr>
          <w:rFonts w:ascii="Arial" w:hAnsi="Arial" w:cs="Arial"/>
          <w:color w:val="000000"/>
          <w:vertAlign w:val="subscript"/>
        </w:rPr>
        <w:t>n</w:t>
      </w:r>
      <w:proofErr w:type="spellEnd"/>
      <w:r>
        <w:rPr>
          <w:rFonts w:ascii="Arial" w:hAnsi="Arial" w:cs="Arial"/>
          <w:color w:val="000000"/>
        </w:rPr>
        <w:t> с вероятностью p</w:t>
      </w:r>
      <w:r>
        <w:rPr>
          <w:rFonts w:ascii="Arial" w:hAnsi="Arial" w:cs="Arial"/>
          <w:color w:val="000000"/>
          <w:vertAlign w:val="subscript"/>
        </w:rPr>
        <w:t>1</w:t>
      </w:r>
      <w:r>
        <w:rPr>
          <w:rFonts w:ascii="Arial" w:hAnsi="Arial" w:cs="Arial"/>
          <w:color w:val="000000"/>
        </w:rPr>
        <w:t>,p</w:t>
      </w:r>
      <w:r>
        <w:rPr>
          <w:rFonts w:ascii="Arial" w:hAnsi="Arial" w:cs="Arial"/>
          <w:color w:val="000000"/>
          <w:vertAlign w:val="subscript"/>
        </w:rPr>
        <w:t>2</w:t>
      </w:r>
      <w:r>
        <w:rPr>
          <w:rFonts w:ascii="Arial" w:hAnsi="Arial" w:cs="Arial"/>
          <w:color w:val="000000"/>
        </w:rPr>
        <w:t>,…,</w:t>
      </w:r>
      <w:proofErr w:type="spellStart"/>
      <w:r>
        <w:rPr>
          <w:rFonts w:ascii="Arial" w:hAnsi="Arial" w:cs="Arial"/>
          <w:color w:val="000000"/>
        </w:rPr>
        <w:t>p</w:t>
      </w:r>
      <w:r>
        <w:rPr>
          <w:rFonts w:ascii="Arial" w:hAnsi="Arial" w:cs="Arial"/>
          <w:color w:val="000000"/>
          <w:vertAlign w:val="subscript"/>
        </w:rPr>
        <w:t>n</w:t>
      </w:r>
      <w:proofErr w:type="spellEnd"/>
      <w:r>
        <w:rPr>
          <w:rFonts w:ascii="Arial" w:hAnsi="Arial" w:cs="Arial"/>
          <w:color w:val="000000"/>
        </w:rPr>
        <w:t>, а смешанной стратегией S</w:t>
      </w:r>
      <w:r>
        <w:rPr>
          <w:rFonts w:ascii="Arial" w:hAnsi="Arial" w:cs="Arial"/>
          <w:color w:val="000000"/>
          <w:vertAlign w:val="subscript"/>
        </w:rPr>
        <w:t>B</w:t>
      </w:r>
      <w:r>
        <w:rPr>
          <w:rFonts w:ascii="Arial" w:hAnsi="Arial" w:cs="Arial"/>
          <w:color w:val="000000"/>
        </w:rPr>
        <w:t> - применение чистых стратегий B</w:t>
      </w:r>
      <w:r>
        <w:rPr>
          <w:rFonts w:ascii="Arial" w:hAnsi="Arial" w:cs="Arial"/>
          <w:color w:val="000000"/>
          <w:vertAlign w:val="subscript"/>
        </w:rPr>
        <w:t>1</w:t>
      </w:r>
      <w:r>
        <w:rPr>
          <w:rFonts w:ascii="Arial" w:hAnsi="Arial" w:cs="Arial"/>
          <w:color w:val="000000"/>
        </w:rPr>
        <w:t>,B</w:t>
      </w:r>
      <w:r>
        <w:rPr>
          <w:rFonts w:ascii="Arial" w:hAnsi="Arial" w:cs="Arial"/>
          <w:color w:val="000000"/>
          <w:vertAlign w:val="subscript"/>
        </w:rPr>
        <w:t>2</w:t>
      </w:r>
      <w:r>
        <w:rPr>
          <w:rFonts w:ascii="Arial" w:hAnsi="Arial" w:cs="Arial"/>
          <w:color w:val="000000"/>
        </w:rPr>
        <w:t>,…,</w:t>
      </w:r>
      <w:proofErr w:type="spellStart"/>
      <w:r>
        <w:rPr>
          <w:rFonts w:ascii="Arial" w:hAnsi="Arial" w:cs="Arial"/>
          <w:color w:val="000000"/>
        </w:rPr>
        <w:t>B</w:t>
      </w:r>
      <w:r>
        <w:rPr>
          <w:rFonts w:ascii="Arial" w:hAnsi="Arial" w:cs="Arial"/>
          <w:color w:val="000000"/>
          <w:vertAlign w:val="subscript"/>
        </w:rPr>
        <w:t>n</w:t>
      </w:r>
      <w:proofErr w:type="spellEnd"/>
      <w:r>
        <w:rPr>
          <w:rFonts w:ascii="Arial" w:hAnsi="Arial" w:cs="Arial"/>
          <w:color w:val="000000"/>
        </w:rPr>
        <w:t> с вероятностью p</w:t>
      </w:r>
      <w:r>
        <w:rPr>
          <w:rFonts w:ascii="Arial" w:hAnsi="Arial" w:cs="Arial"/>
          <w:color w:val="000000"/>
          <w:vertAlign w:val="subscript"/>
        </w:rPr>
        <w:t>1</w:t>
      </w:r>
      <w:r>
        <w:rPr>
          <w:rFonts w:ascii="Arial" w:hAnsi="Arial" w:cs="Arial"/>
          <w:color w:val="000000"/>
        </w:rPr>
        <w:t>,p</w:t>
      </w:r>
      <w:r>
        <w:rPr>
          <w:rFonts w:ascii="Arial" w:hAnsi="Arial" w:cs="Arial"/>
          <w:color w:val="000000"/>
          <w:vertAlign w:val="subscript"/>
        </w:rPr>
        <w:t>2</w:t>
      </w:r>
      <w:r>
        <w:rPr>
          <w:rFonts w:ascii="Arial" w:hAnsi="Arial" w:cs="Arial"/>
          <w:color w:val="000000"/>
        </w:rPr>
        <w:t>,…,</w:t>
      </w:r>
      <w:proofErr w:type="spellStart"/>
      <w:r>
        <w:rPr>
          <w:rFonts w:ascii="Arial" w:hAnsi="Arial" w:cs="Arial"/>
          <w:color w:val="000000"/>
        </w:rPr>
        <w:t>p</w:t>
      </w:r>
      <w:r>
        <w:rPr>
          <w:rFonts w:ascii="Arial" w:hAnsi="Arial" w:cs="Arial"/>
          <w:color w:val="000000"/>
          <w:vertAlign w:val="subscript"/>
        </w:rPr>
        <w:t>m</w:t>
      </w:r>
      <w:proofErr w:type="spellEnd"/>
      <w:r>
        <w:rPr>
          <w:rFonts w:ascii="Arial" w:hAnsi="Arial" w:cs="Arial"/>
          <w:color w:val="000000"/>
        </w:rPr>
        <w:t>. Пусть игра имеет размерность 2 на 2 и задается платежной матрицей:</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952500" cy="476250"/>
            <wp:effectExtent l="0" t="0" r="0" b="0"/>
            <wp:docPr id="4" name="Рисунок 4" descr="https://studfile.net/html/2706/252/html_efh395uGHc.utFj/img-aR0vL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file.net/html/2706/252/html_efh395uGHc.utFj/img-aR0vLy.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476250"/>
                    </a:xfrm>
                    <a:prstGeom prst="rect">
                      <a:avLst/>
                    </a:prstGeom>
                    <a:noFill/>
                    <a:ln>
                      <a:noFill/>
                    </a:ln>
                  </pic:spPr>
                </pic:pic>
              </a:graphicData>
            </a:graphic>
          </wp:inline>
        </w:drawing>
      </w:r>
    </w:p>
    <w:p w:rsidR="00EF0408" w:rsidRDefault="00EF0408" w:rsidP="00EF0408">
      <w:pPr>
        <w:pStyle w:val="a3"/>
        <w:rPr>
          <w:rFonts w:ascii="Arial" w:hAnsi="Arial" w:cs="Arial"/>
          <w:color w:val="000000"/>
        </w:rPr>
      </w:pPr>
      <w:r>
        <w:rPr>
          <w:rFonts w:ascii="Arial" w:hAnsi="Arial" w:cs="Arial"/>
          <w:color w:val="000000"/>
        </w:rPr>
        <w:t>Для игрока А оптимальная стратегия будет иметь вероятности:</w:t>
      </w:r>
    </w:p>
    <w:p w:rsidR="00EF0408" w:rsidRDefault="00EF0408" w:rsidP="00EF0408">
      <w:pPr>
        <w:pStyle w:val="a3"/>
        <w:jc w:val="center"/>
        <w:rPr>
          <w:rFonts w:ascii="Arial" w:hAnsi="Arial" w:cs="Arial"/>
          <w:color w:val="000000"/>
        </w:rPr>
      </w:pPr>
      <w:r>
        <w:rPr>
          <w:rFonts w:ascii="Arial" w:hAnsi="Arial" w:cs="Arial"/>
          <w:noProof/>
          <w:color w:val="000000"/>
        </w:rPr>
        <w:drawing>
          <wp:inline distT="0" distB="0" distL="0" distR="0">
            <wp:extent cx="1476375" cy="428625"/>
            <wp:effectExtent l="0" t="0" r="9525" b="9525"/>
            <wp:docPr id="3" name="Рисунок 3" descr="https://studfile.net/html/2706/252/html_efh395uGHc.utFj/img-2Djj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udfile.net/html/2706/252/html_efh395uGHc.utFj/img-2DjjD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76375" cy="428625"/>
                    </a:xfrm>
                    <a:prstGeom prst="rect">
                      <a:avLst/>
                    </a:prstGeom>
                    <a:noFill/>
                    <a:ln>
                      <a:noFill/>
                    </a:ln>
                  </pic:spPr>
                </pic:pic>
              </a:graphicData>
            </a:graphic>
          </wp:inline>
        </w:drawing>
      </w:r>
      <w:proofErr w:type="gramStart"/>
      <w:r>
        <w:rPr>
          <w:rFonts w:ascii="Arial" w:hAnsi="Arial" w:cs="Arial"/>
          <w:color w:val="000000"/>
        </w:rPr>
        <w:t>; </w:t>
      </w:r>
      <w:r>
        <w:rPr>
          <w:rFonts w:ascii="Arial" w:hAnsi="Arial" w:cs="Arial"/>
          <w:noProof/>
          <w:color w:val="000000"/>
        </w:rPr>
        <w:drawing>
          <wp:inline distT="0" distB="0" distL="0" distR="0">
            <wp:extent cx="1476375" cy="428625"/>
            <wp:effectExtent l="0" t="0" r="9525" b="9525"/>
            <wp:docPr id="2" name="Рисунок 2" descr="https://studfile.net/html/2706/252/html_efh395uGHc.utFj/img-hmrJY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252/html_efh395uGHc.utFj/img-hmrJY5.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76375" cy="428625"/>
                    </a:xfrm>
                    <a:prstGeom prst="rect">
                      <a:avLst/>
                    </a:prstGeom>
                    <a:noFill/>
                    <a:ln>
                      <a:noFill/>
                    </a:ln>
                  </pic:spPr>
                </pic:pic>
              </a:graphicData>
            </a:graphic>
          </wp:inline>
        </w:drawing>
      </w:r>
      <w:r>
        <w:rPr>
          <w:rFonts w:ascii="Arial" w:hAnsi="Arial" w:cs="Arial"/>
          <w:color w:val="000000"/>
        </w:rPr>
        <w:t>;</w:t>
      </w:r>
      <w:proofErr w:type="gramEnd"/>
      <w:r>
        <w:rPr>
          <w:rFonts w:ascii="Arial" w:hAnsi="Arial" w:cs="Arial"/>
          <w:color w:val="000000"/>
        </w:rPr>
        <w:t xml:space="preserve"> цена игры</w:t>
      </w:r>
      <w:r>
        <w:rPr>
          <w:rFonts w:ascii="Arial" w:hAnsi="Arial" w:cs="Arial"/>
          <w:noProof/>
          <w:color w:val="000000"/>
        </w:rPr>
        <w:drawing>
          <wp:inline distT="0" distB="0" distL="0" distR="0">
            <wp:extent cx="1438275" cy="428625"/>
            <wp:effectExtent l="0" t="0" r="9525" b="9525"/>
            <wp:docPr id="1" name="Рисунок 1" descr="https://studfile.net/html/2706/252/html_efh395uGHc.utFj/img-WiBjD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file.net/html/2706/252/html_efh395uGHc.utFj/img-WiBjDj.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p w:rsidR="006E2A79" w:rsidRDefault="006E2A79">
      <w:bookmarkStart w:id="0" w:name="_GoBack"/>
      <w:bookmarkEnd w:id="0"/>
    </w:p>
    <w:sectPr w:rsidR="006E2A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7C4C68"/>
    <w:multiLevelType w:val="multilevel"/>
    <w:tmpl w:val="F84C0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817"/>
    <w:rsid w:val="006E2A79"/>
    <w:rsid w:val="00C01817"/>
    <w:rsid w:val="00EF04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594E23-CF4D-4D66-A976-AF4890737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F04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F040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F040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F0408"/>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EF040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656929">
      <w:bodyDiv w:val="1"/>
      <w:marLeft w:val="0"/>
      <w:marRight w:val="0"/>
      <w:marTop w:val="0"/>
      <w:marBottom w:val="0"/>
      <w:divBdr>
        <w:top w:val="none" w:sz="0" w:space="0" w:color="auto"/>
        <w:left w:val="none" w:sz="0" w:space="0" w:color="auto"/>
        <w:bottom w:val="none" w:sz="0" w:space="0" w:color="auto"/>
        <w:right w:val="none" w:sz="0" w:space="0" w:color="auto"/>
      </w:divBdr>
    </w:div>
    <w:div w:id="1782382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1464</Words>
  <Characters>8346</Characters>
  <Application>Microsoft Office Word</Application>
  <DocSecurity>0</DocSecurity>
  <Lines>69</Lines>
  <Paragraphs>19</Paragraphs>
  <ScaleCrop>false</ScaleCrop>
  <Company/>
  <LinksUpToDate>false</LinksUpToDate>
  <CharactersWithSpaces>9791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2020-05-11T14:55:00Z</dcterms:created>
  <dcterms:modified xsi:type="dcterms:W3CDTF">2020-05-11T14:55:00Z</dcterms:modified>
</cp:coreProperties>
</file>